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63C5" w14:textId="77777777" w:rsidR="00F64C4A" w:rsidRPr="00F64C4A" w:rsidRDefault="00F64C4A" w:rsidP="00F64C4A">
      <w:pPr>
        <w:rPr>
          <w:rFonts w:ascii="Arial" w:hAnsi="Arial"/>
          <w:lang w:eastAsia="es-HN"/>
        </w:rPr>
      </w:pPr>
    </w:p>
    <w:p w14:paraId="3E74549C" w14:textId="1ADD698F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  <w:r w:rsidRPr="00F64C4A"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AEB11BD" wp14:editId="2D72741E">
            <wp:simplePos x="0" y="0"/>
            <wp:positionH relativeFrom="margin">
              <wp:posOffset>3713480</wp:posOffset>
            </wp:positionH>
            <wp:positionV relativeFrom="paragraph">
              <wp:posOffset>71120</wp:posOffset>
            </wp:positionV>
            <wp:extent cx="2167890" cy="971550"/>
            <wp:effectExtent l="0" t="0" r="3810" b="0"/>
            <wp:wrapSquare wrapText="bothSides"/>
            <wp:docPr id="2" name="Imagen 2" descr="08 MINEDUCYT (Karla de Varela) junio 2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08 MINEDUCYT (Karla de Varela) junio 201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C4A"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7147620" wp14:editId="6CB0A865">
            <wp:simplePos x="0" y="0"/>
            <wp:positionH relativeFrom="column">
              <wp:posOffset>-52705</wp:posOffset>
            </wp:positionH>
            <wp:positionV relativeFrom="paragraph">
              <wp:posOffset>118110</wp:posOffset>
            </wp:positionV>
            <wp:extent cx="2155825" cy="1252220"/>
            <wp:effectExtent l="0" t="0" r="0" b="508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EA88F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6BF53F27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3A84A6C4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0DFE80C0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779E0D87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0579F4B3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32AD25DC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080"/>
        <w:jc w:val="both"/>
        <w:rPr>
          <w:rFonts w:ascii="Arial" w:hAnsi="Arial"/>
        </w:rPr>
      </w:pPr>
    </w:p>
    <w:p w14:paraId="3792308E" w14:textId="77777777" w:rsidR="00F64C4A" w:rsidRPr="00F64C4A" w:rsidRDefault="00F64C4A" w:rsidP="00F64C4A">
      <w:pPr>
        <w:tabs>
          <w:tab w:val="right" w:leader="dot" w:pos="8640"/>
        </w:tabs>
        <w:spacing w:before="100" w:after="100" w:line="240" w:lineRule="auto"/>
        <w:ind w:left="1276" w:right="769"/>
        <w:jc w:val="both"/>
        <w:rPr>
          <w:rFonts w:ascii="Arial" w:hAnsi="Arial"/>
        </w:rPr>
      </w:pPr>
    </w:p>
    <w:p w14:paraId="7E5D83EF" w14:textId="77777777" w:rsidR="00F64C4A" w:rsidRPr="00F64C4A" w:rsidRDefault="00F64C4A" w:rsidP="00F64C4A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ind w:left="1276" w:right="769"/>
        <w:rPr>
          <w:rFonts w:ascii="Arial" w:hAnsi="Arial" w:cs="Arial"/>
          <w:bCs/>
          <w:sz w:val="22"/>
          <w:szCs w:val="22"/>
          <w:lang w:val="es-ES_tradnl"/>
        </w:rPr>
      </w:pPr>
    </w:p>
    <w:p w14:paraId="649B6B8C" w14:textId="77777777" w:rsidR="00F64C4A" w:rsidRPr="00F64C4A" w:rsidRDefault="00F64C4A" w:rsidP="00F64C4A">
      <w:pPr>
        <w:tabs>
          <w:tab w:val="left" w:pos="0"/>
          <w:tab w:val="right" w:leader="dot" w:pos="8640"/>
        </w:tabs>
        <w:ind w:right="769"/>
        <w:jc w:val="center"/>
        <w:rPr>
          <w:rFonts w:ascii="Arial" w:hAnsi="Arial"/>
          <w:b/>
          <w:lang w:val="es-ES_tradnl"/>
        </w:rPr>
      </w:pPr>
      <w:r w:rsidRPr="00F64C4A">
        <w:rPr>
          <w:rFonts w:ascii="Arial" w:hAnsi="Arial"/>
          <w:b/>
        </w:rPr>
        <w:t>Contratación de:</w:t>
      </w:r>
    </w:p>
    <w:p w14:paraId="3979C049" w14:textId="77777777" w:rsidR="00F64C4A" w:rsidRPr="00F64C4A" w:rsidRDefault="00F64C4A" w:rsidP="00F64C4A">
      <w:pPr>
        <w:tabs>
          <w:tab w:val="left" w:pos="0"/>
          <w:tab w:val="left" w:pos="851"/>
          <w:tab w:val="right" w:leader="dot" w:pos="8640"/>
        </w:tabs>
        <w:ind w:right="112"/>
        <w:jc w:val="center"/>
        <w:rPr>
          <w:rFonts w:ascii="Arial" w:hAnsi="Arial"/>
          <w:b/>
          <w:bCs/>
        </w:rPr>
      </w:pPr>
      <w:r w:rsidRPr="00F64C4A">
        <w:rPr>
          <w:rFonts w:ascii="Arial" w:hAnsi="Arial"/>
          <w:b/>
          <w:bCs/>
        </w:rPr>
        <w:t>“SUPERVISIÓN DEL DISEÑO Y MEJORAMIENTO DE 24 CENTROS EDUCATIVOS EN MUNICIPIOS DE POBREZA MULTIDIMENSIONAL EN LOS DEPARTAMENTOS DE SONSONATE, SANTA ANA, MORAZÁN, LA PAZ, SAN MIGUEL, CUSCATLÁN Y LA LIBERTAD.”</w:t>
      </w:r>
    </w:p>
    <w:tbl>
      <w:tblPr>
        <w:tblW w:w="10208" w:type="dxa"/>
        <w:tblInd w:w="-426" w:type="dxa"/>
        <w:tblLook w:val="04A0" w:firstRow="1" w:lastRow="0" w:firstColumn="1" w:lastColumn="0" w:noHBand="0" w:noVBand="1"/>
      </w:tblPr>
      <w:tblGrid>
        <w:gridCol w:w="4254"/>
        <w:gridCol w:w="5954"/>
      </w:tblGrid>
      <w:tr w:rsidR="00F64C4A" w:rsidRPr="00F64C4A" w14:paraId="756A5ED3" w14:textId="77777777" w:rsidTr="00F64C4A">
        <w:tc>
          <w:tcPr>
            <w:tcW w:w="4254" w:type="dxa"/>
            <w:hideMark/>
          </w:tcPr>
          <w:p w14:paraId="0ED295FA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jc w:val="right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eastAsia="Times New Roman" w:hAnsi="Arial"/>
                <w:b/>
                <w:lang w:eastAsia="es-HN"/>
              </w:rPr>
              <w:t>Proceso No.:</w:t>
            </w:r>
          </w:p>
        </w:tc>
        <w:tc>
          <w:tcPr>
            <w:tcW w:w="5954" w:type="dxa"/>
          </w:tcPr>
          <w:p w14:paraId="3FD0490C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rPr>
                <w:rFonts w:ascii="Arial" w:hAnsi="Arial"/>
                <w:b/>
                <w:bCs/>
                <w:lang w:eastAsia="es-MX"/>
              </w:rPr>
            </w:pPr>
            <w:proofErr w:type="spellStart"/>
            <w:r w:rsidRPr="00F64C4A">
              <w:rPr>
                <w:rFonts w:ascii="Arial" w:hAnsi="Arial"/>
                <w:b/>
                <w:bCs/>
                <w:lang w:eastAsia="es-MX"/>
              </w:rPr>
              <w:t>CPI</w:t>
            </w:r>
            <w:proofErr w:type="spellEnd"/>
            <w:r w:rsidRPr="00F64C4A">
              <w:rPr>
                <w:rFonts w:ascii="Arial" w:hAnsi="Arial"/>
                <w:b/>
                <w:bCs/>
                <w:lang w:eastAsia="es-MX"/>
              </w:rPr>
              <w:t xml:space="preserve"> 06-2024 MINEDUCYT-BCIE</w:t>
            </w:r>
          </w:p>
          <w:p w14:paraId="348F3829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rPr>
                <w:rFonts w:ascii="Arial" w:eastAsia="Times New Roman" w:hAnsi="Arial"/>
                <w:b/>
                <w:lang w:eastAsia="es-HN"/>
              </w:rPr>
            </w:pPr>
          </w:p>
        </w:tc>
      </w:tr>
      <w:tr w:rsidR="00F64C4A" w:rsidRPr="00F64C4A" w14:paraId="662F62E9" w14:textId="77777777" w:rsidTr="00F64C4A">
        <w:tc>
          <w:tcPr>
            <w:tcW w:w="4254" w:type="dxa"/>
            <w:hideMark/>
          </w:tcPr>
          <w:p w14:paraId="0CC4AE01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jc w:val="right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eastAsia="Times New Roman" w:hAnsi="Arial"/>
                <w:b/>
                <w:lang w:eastAsia="es-HN"/>
              </w:rPr>
              <w:t>Servicios de consultoría para:</w:t>
            </w:r>
          </w:p>
        </w:tc>
        <w:tc>
          <w:tcPr>
            <w:tcW w:w="5954" w:type="dxa"/>
            <w:hideMark/>
          </w:tcPr>
          <w:p w14:paraId="70541ED2" w14:textId="77777777" w:rsidR="00F64C4A" w:rsidRPr="00F64C4A" w:rsidRDefault="00F64C4A">
            <w:pPr>
              <w:tabs>
                <w:tab w:val="left" w:pos="0"/>
              </w:tabs>
              <w:spacing w:before="60" w:after="60" w:line="240" w:lineRule="auto"/>
              <w:ind w:right="354"/>
              <w:jc w:val="both"/>
              <w:rPr>
                <w:rFonts w:ascii="Arial" w:eastAsia="Times New Roman" w:hAnsi="Arial"/>
                <w:bCs/>
                <w:lang w:eastAsia="es-HN"/>
              </w:rPr>
            </w:pPr>
            <w:r w:rsidRPr="00F64C4A">
              <w:rPr>
                <w:rFonts w:ascii="Arial" w:eastAsia="Times New Roman" w:hAnsi="Arial"/>
                <w:bCs/>
                <w:lang w:eastAsia="es-HN"/>
              </w:rPr>
              <w:t>“SUPERVISIÓN DEL DISEÑO Y MEJORAMIENTO DE 24 CENTROS EDUCATIVOS EN MUNICIPIOS DE POBREZA MULTIDIMENSIONAL EN LOS DEPARTAMENTOS DE SONSONATE, SANTA ANA, MORAZÁN, LA PAZ, SAN MIGUEL, CUSCATLÁN Y LA LIBERTAD.”</w:t>
            </w:r>
          </w:p>
        </w:tc>
      </w:tr>
      <w:tr w:rsidR="00F64C4A" w:rsidRPr="00F64C4A" w14:paraId="3FE9D3CE" w14:textId="77777777" w:rsidTr="00F64C4A">
        <w:tc>
          <w:tcPr>
            <w:tcW w:w="4254" w:type="dxa"/>
            <w:hideMark/>
          </w:tcPr>
          <w:p w14:paraId="42F271F7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jc w:val="right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eastAsia="Times New Roman" w:hAnsi="Arial"/>
                <w:b/>
                <w:lang w:eastAsia="es-HN"/>
              </w:rPr>
              <w:t>Contratante:</w:t>
            </w:r>
          </w:p>
        </w:tc>
        <w:tc>
          <w:tcPr>
            <w:tcW w:w="5954" w:type="dxa"/>
            <w:hideMark/>
          </w:tcPr>
          <w:p w14:paraId="6A0AEB17" w14:textId="77777777" w:rsidR="00F64C4A" w:rsidRPr="00F64C4A" w:rsidRDefault="00F64C4A">
            <w:pPr>
              <w:tabs>
                <w:tab w:val="left" w:pos="0"/>
              </w:tabs>
              <w:spacing w:before="60" w:after="60" w:line="240" w:lineRule="auto"/>
              <w:ind w:right="769"/>
              <w:rPr>
                <w:rFonts w:ascii="Arial" w:eastAsia="Times New Roman" w:hAnsi="Arial"/>
                <w:bCs/>
                <w:lang w:eastAsia="es-HN"/>
              </w:rPr>
            </w:pPr>
            <w:r w:rsidRPr="00F64C4A">
              <w:rPr>
                <w:rFonts w:ascii="Arial" w:hAnsi="Arial"/>
                <w:bCs/>
                <w:lang w:eastAsia="es-MX"/>
              </w:rPr>
              <w:t>Ministerio de Educación, Ciencia y Tecnología</w:t>
            </w:r>
          </w:p>
        </w:tc>
      </w:tr>
      <w:tr w:rsidR="00F64C4A" w:rsidRPr="00F64C4A" w14:paraId="1144717B" w14:textId="77777777" w:rsidTr="00F64C4A">
        <w:tc>
          <w:tcPr>
            <w:tcW w:w="4254" w:type="dxa"/>
            <w:hideMark/>
          </w:tcPr>
          <w:p w14:paraId="086F68BF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jc w:val="right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eastAsia="Times New Roman" w:hAnsi="Arial"/>
                <w:b/>
                <w:lang w:eastAsia="es-HN"/>
              </w:rPr>
              <w:t>País:</w:t>
            </w:r>
          </w:p>
        </w:tc>
        <w:tc>
          <w:tcPr>
            <w:tcW w:w="5954" w:type="dxa"/>
            <w:hideMark/>
          </w:tcPr>
          <w:p w14:paraId="351211DF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hAnsi="Arial"/>
                <w:bCs/>
                <w:lang w:eastAsia="es-MX"/>
              </w:rPr>
              <w:t>El Salvador</w:t>
            </w:r>
          </w:p>
        </w:tc>
      </w:tr>
      <w:tr w:rsidR="00F64C4A" w:rsidRPr="00F64C4A" w14:paraId="23A633D9" w14:textId="77777777" w:rsidTr="00F64C4A">
        <w:tc>
          <w:tcPr>
            <w:tcW w:w="4254" w:type="dxa"/>
            <w:hideMark/>
          </w:tcPr>
          <w:p w14:paraId="09C22A84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jc w:val="right"/>
              <w:rPr>
                <w:rFonts w:ascii="Arial" w:eastAsia="Times New Roman" w:hAnsi="Arial"/>
                <w:b/>
                <w:lang w:eastAsia="es-HN"/>
              </w:rPr>
            </w:pPr>
            <w:r w:rsidRPr="00F64C4A">
              <w:rPr>
                <w:rFonts w:ascii="Arial" w:eastAsia="Times New Roman" w:hAnsi="Arial"/>
                <w:b/>
                <w:lang w:eastAsia="es-HN"/>
              </w:rPr>
              <w:t>Emitido:</w:t>
            </w:r>
          </w:p>
        </w:tc>
        <w:tc>
          <w:tcPr>
            <w:tcW w:w="5954" w:type="dxa"/>
            <w:hideMark/>
          </w:tcPr>
          <w:p w14:paraId="78E5D195" w14:textId="77777777" w:rsidR="00F64C4A" w:rsidRPr="00F64C4A" w:rsidRDefault="00F64C4A">
            <w:pPr>
              <w:tabs>
                <w:tab w:val="left" w:pos="0"/>
                <w:tab w:val="right" w:leader="dot" w:pos="8640"/>
              </w:tabs>
              <w:spacing w:before="60" w:after="60" w:line="240" w:lineRule="auto"/>
              <w:ind w:right="769"/>
              <w:rPr>
                <w:rFonts w:ascii="Arial" w:eastAsia="Times New Roman" w:hAnsi="Arial"/>
                <w:bCs/>
                <w:lang w:eastAsia="es-HN"/>
              </w:rPr>
            </w:pPr>
            <w:r w:rsidRPr="00F64C4A">
              <w:rPr>
                <w:rFonts w:ascii="Arial" w:eastAsia="Times New Roman" w:hAnsi="Arial"/>
                <w:bCs/>
                <w:lang w:eastAsia="es-HN"/>
              </w:rPr>
              <w:t>Agosto de 2024</w:t>
            </w:r>
          </w:p>
        </w:tc>
      </w:tr>
    </w:tbl>
    <w:p w14:paraId="3A1FC2E8" w14:textId="77777777" w:rsidR="00F64C4A" w:rsidRPr="00F64C4A" w:rsidRDefault="00F64C4A" w:rsidP="00F64C4A">
      <w:pPr>
        <w:tabs>
          <w:tab w:val="left" w:pos="720"/>
          <w:tab w:val="right" w:leader="dot" w:pos="8640"/>
        </w:tabs>
        <w:jc w:val="center"/>
        <w:rPr>
          <w:rFonts w:ascii="Arial" w:hAnsi="Arial"/>
          <w:b/>
          <w:lang w:val="es-ES_tradnl"/>
        </w:rPr>
      </w:pPr>
    </w:p>
    <w:p w14:paraId="6F850529" w14:textId="77777777" w:rsidR="00F64C4A" w:rsidRPr="00F64C4A" w:rsidRDefault="00F64C4A" w:rsidP="00F64C4A">
      <w:pPr>
        <w:tabs>
          <w:tab w:val="left" w:pos="720"/>
          <w:tab w:val="right" w:leader="dot" w:pos="9540"/>
        </w:tabs>
        <w:spacing w:after="120"/>
        <w:rPr>
          <w:rFonts w:ascii="Arial" w:hAnsi="Arial"/>
          <w:bCs/>
        </w:rPr>
      </w:pPr>
      <w:r w:rsidRPr="00F64C4A">
        <w:rPr>
          <w:rFonts w:ascii="Arial" w:hAnsi="Arial"/>
          <w:bCs/>
        </w:rPr>
        <w:t xml:space="preserve"> </w:t>
      </w:r>
    </w:p>
    <w:p w14:paraId="5D23EFA7" w14:textId="77777777" w:rsidR="00F64C4A" w:rsidRPr="00F64C4A" w:rsidRDefault="00F64C4A" w:rsidP="00F64C4A">
      <w:pPr>
        <w:rPr>
          <w:rFonts w:ascii="Arial" w:hAnsi="Arial"/>
          <w:b/>
        </w:rPr>
      </w:pPr>
      <w:r w:rsidRPr="00F64C4A">
        <w:rPr>
          <w:rFonts w:ascii="Arial" w:hAnsi="Arial"/>
          <w:b/>
        </w:rPr>
        <w:br w:type="page"/>
      </w:r>
      <w:bookmarkStart w:id="0" w:name="_Toc54366278"/>
      <w:bookmarkStart w:id="1" w:name="_Toc53584195"/>
      <w:bookmarkStart w:id="2" w:name="_Toc158934691"/>
      <w:bookmarkStart w:id="3" w:name="_Toc158934516"/>
      <w:bookmarkStart w:id="4" w:name="_Toc158932187"/>
      <w:bookmarkStart w:id="5" w:name="_Toc74859279"/>
      <w:bookmarkStart w:id="6" w:name="_Toc58564430"/>
    </w:p>
    <w:bookmarkEnd w:id="0"/>
    <w:bookmarkEnd w:id="1"/>
    <w:p w14:paraId="46ADB9F3" w14:textId="77777777" w:rsidR="00F64C4A" w:rsidRPr="00F64C4A" w:rsidRDefault="00F64C4A" w:rsidP="00F64C4A">
      <w:pPr>
        <w:jc w:val="center"/>
        <w:rPr>
          <w:rFonts w:ascii="Arial" w:hAnsi="Arial"/>
          <w:b/>
        </w:rPr>
      </w:pPr>
      <w:r w:rsidRPr="00F64C4A">
        <w:rPr>
          <w:rFonts w:ascii="Arial" w:hAnsi="Arial"/>
          <w:b/>
        </w:rPr>
        <w:lastRenderedPageBreak/>
        <w:t>Aviso de Concurso</w:t>
      </w:r>
    </w:p>
    <w:p w14:paraId="11C388C8" w14:textId="77777777" w:rsidR="00F64C4A" w:rsidRPr="00F64C4A" w:rsidRDefault="00F64C4A" w:rsidP="00F64C4A">
      <w:pPr>
        <w:jc w:val="center"/>
        <w:rPr>
          <w:rFonts w:ascii="Arial" w:hAnsi="Arial"/>
          <w:b/>
        </w:rPr>
      </w:pPr>
      <w:proofErr w:type="spellStart"/>
      <w:r w:rsidRPr="00F64C4A">
        <w:rPr>
          <w:rFonts w:ascii="Arial" w:hAnsi="Arial"/>
          <w:b/>
        </w:rPr>
        <w:t>CPI</w:t>
      </w:r>
      <w:proofErr w:type="spellEnd"/>
      <w:r w:rsidRPr="00F64C4A">
        <w:rPr>
          <w:rFonts w:ascii="Arial" w:hAnsi="Arial"/>
          <w:b/>
        </w:rPr>
        <w:t xml:space="preserve"> 06-2024 MINEDUCYT-BCIE</w:t>
      </w:r>
    </w:p>
    <w:p w14:paraId="15630A8B" w14:textId="77777777" w:rsidR="00F64C4A" w:rsidRPr="00F64C4A" w:rsidRDefault="00F64C4A" w:rsidP="00F64C4A">
      <w:pPr>
        <w:ind w:right="-32"/>
        <w:jc w:val="center"/>
        <w:rPr>
          <w:rFonts w:ascii="Arial" w:hAnsi="Arial"/>
          <w:b/>
        </w:rPr>
      </w:pPr>
      <w:r w:rsidRPr="00F64C4A">
        <w:rPr>
          <w:rFonts w:ascii="Arial" w:hAnsi="Arial"/>
          <w:b/>
        </w:rPr>
        <w:t>SUPERVISIÓN DEL DISEÑO Y MEJORAMIENTO DE 24 CENTROS EDUCATIVOS EN MUNICIPIOS DE POBREZA MULTIDIMENSIONAL EN LOS DEPARTAMENTOS DE SONSONATE, SANTA ANA, MORAZÁN, LA PAZ, SAN MIGUEL, CUSCATLÁN Y LA LIBERTAD.”</w:t>
      </w:r>
    </w:p>
    <w:bookmarkEnd w:id="2"/>
    <w:bookmarkEnd w:id="3"/>
    <w:bookmarkEnd w:id="4"/>
    <w:bookmarkEnd w:id="5"/>
    <w:bookmarkEnd w:id="6"/>
    <w:p w14:paraId="13983E95" w14:textId="77777777" w:rsidR="00F64C4A" w:rsidRPr="00F64C4A" w:rsidRDefault="00F64C4A" w:rsidP="00F64C4A">
      <w:pPr>
        <w:spacing w:before="240" w:after="240"/>
        <w:ind w:right="-34"/>
        <w:rPr>
          <w:rFonts w:ascii="Arial" w:hAnsi="Arial"/>
          <w:b/>
        </w:rPr>
      </w:pPr>
      <w:r w:rsidRPr="00F64C4A">
        <w:rPr>
          <w:rFonts w:ascii="Arial" w:hAnsi="Arial"/>
          <w:b/>
        </w:rPr>
        <w:t xml:space="preserve">San salvador, 30 de agosto de 2024 </w:t>
      </w:r>
    </w:p>
    <w:p w14:paraId="52A58390" w14:textId="77777777" w:rsidR="00F64C4A" w:rsidRPr="00F64C4A" w:rsidRDefault="00F64C4A" w:rsidP="00F64C4A">
      <w:pPr>
        <w:pStyle w:val="i"/>
        <w:numPr>
          <w:ilvl w:val="0"/>
          <w:numId w:val="5"/>
        </w:numPr>
        <w:spacing w:before="360" w:after="120"/>
        <w:ind w:left="357" w:hanging="357"/>
        <w:rPr>
          <w:rFonts w:ascii="Arial" w:hAnsi="Arial" w:cs="Arial"/>
          <w:b/>
          <w:szCs w:val="22"/>
          <w:lang w:val="es-ES_tradnl"/>
        </w:rPr>
      </w:pPr>
      <w:r w:rsidRPr="00F64C4A">
        <w:rPr>
          <w:rFonts w:ascii="Arial" w:hAnsi="Arial" w:cs="Arial"/>
          <w:b/>
          <w:szCs w:val="22"/>
          <w:lang w:val="es-ES_tradnl"/>
        </w:rPr>
        <w:t>FUENTE DE RECURSOS</w:t>
      </w:r>
    </w:p>
    <w:p w14:paraId="32B51650" w14:textId="77777777" w:rsidR="00F64C4A" w:rsidRPr="00F64C4A" w:rsidRDefault="00F64C4A" w:rsidP="00F64C4A">
      <w:pPr>
        <w:spacing w:before="120" w:after="120" w:line="240" w:lineRule="auto"/>
        <w:ind w:right="-34"/>
        <w:jc w:val="both"/>
        <w:rPr>
          <w:rFonts w:ascii="Arial" w:hAnsi="Arial"/>
          <w:lang w:val="es-ES_tradnl"/>
        </w:rPr>
      </w:pPr>
      <w:r w:rsidRPr="00F64C4A">
        <w:rPr>
          <w:rFonts w:ascii="Arial" w:hAnsi="Arial"/>
        </w:rPr>
        <w:t>El Banco Centroamericano de Integración Económica (</w:t>
      </w:r>
      <w:proofErr w:type="spellStart"/>
      <w:r w:rsidRPr="00F64C4A">
        <w:rPr>
          <w:rFonts w:ascii="Arial" w:hAnsi="Arial"/>
        </w:rPr>
        <w:t>BCIE</w:t>
      </w:r>
      <w:proofErr w:type="spellEnd"/>
      <w:r w:rsidRPr="00F64C4A">
        <w:rPr>
          <w:rFonts w:ascii="Arial" w:hAnsi="Arial"/>
        </w:rPr>
        <w:t>), como parte de los servicios que brinda a sus países socios beneficiarios, está otorgando el financiamiento total para la selección y contratación de una empresa consultora que desarrollará la consultoría de la SUPERVISIÓN DEL DISEÑO Y MEJORAMIENTO DE 24 CENTROS EDUCATIVOS EN MUNICIPIOS DE POBREZA MULTIDIMENSIONAL EN LOS DEPARTAMENTOS DE SONSONATE, SANTA ANA, MORAZÁN, LA PAZ, SAN MIGUEL, CUSCATLÁN Y LA LIBERTAD.”, en el marco del PROGRAMA: MI NUEVA ESCUELA-</w:t>
      </w:r>
      <w:proofErr w:type="spellStart"/>
      <w:r w:rsidRPr="00F64C4A">
        <w:rPr>
          <w:rFonts w:ascii="Arial" w:hAnsi="Arial"/>
        </w:rPr>
        <w:t>BCIE</w:t>
      </w:r>
      <w:proofErr w:type="spellEnd"/>
      <w:r w:rsidRPr="00F64C4A">
        <w:rPr>
          <w:rFonts w:ascii="Arial" w:hAnsi="Arial"/>
        </w:rPr>
        <w:t xml:space="preserve"> 2256-SV.</w:t>
      </w:r>
    </w:p>
    <w:p w14:paraId="6825BD39" w14:textId="77777777" w:rsidR="00F64C4A" w:rsidRPr="00F64C4A" w:rsidRDefault="00F64C4A" w:rsidP="00F64C4A">
      <w:pPr>
        <w:pStyle w:val="i"/>
        <w:numPr>
          <w:ilvl w:val="0"/>
          <w:numId w:val="5"/>
        </w:numPr>
        <w:spacing w:before="360" w:after="120"/>
        <w:rPr>
          <w:rFonts w:ascii="Arial" w:hAnsi="Arial" w:cs="Arial"/>
          <w:b/>
          <w:szCs w:val="22"/>
          <w:lang w:val="es-ES_tradnl"/>
        </w:rPr>
      </w:pPr>
      <w:r w:rsidRPr="00F64C4A">
        <w:rPr>
          <w:rFonts w:ascii="Arial" w:hAnsi="Arial" w:cs="Arial"/>
          <w:b/>
          <w:szCs w:val="22"/>
          <w:lang w:val="es-ES_tradnl"/>
        </w:rPr>
        <w:t>ORGANISMO EJECUTOR Y CONTRATANTE DEL PROCESO DE LICITACIÓN</w:t>
      </w:r>
    </w:p>
    <w:p w14:paraId="0AD91C76" w14:textId="77777777" w:rsidR="00F64C4A" w:rsidRPr="00F64C4A" w:rsidRDefault="00F64C4A" w:rsidP="00F64C4A">
      <w:pPr>
        <w:numPr>
          <w:ilvl w:val="1"/>
          <w:numId w:val="6"/>
        </w:numPr>
        <w:jc w:val="both"/>
        <w:rPr>
          <w:rFonts w:ascii="Arial" w:eastAsia="Times New Roman" w:hAnsi="Arial"/>
          <w:lang w:val="es-ES_tradnl"/>
        </w:rPr>
      </w:pPr>
      <w:r w:rsidRPr="00F64C4A">
        <w:rPr>
          <w:rFonts w:ascii="Arial" w:eastAsia="Times New Roman" w:hAnsi="Arial"/>
        </w:rPr>
        <w:t>Se busca la revalorización del diseño de las instalaciones educativas para lograr un impacto positivo en el aprendizaje, además de tener condiciones ideales para servir y atender a los C.E. de cada departamento con el objeto de ampliar y mejorar los servicios educativos y de atención a los docentes, con el propósito de fortalecer a los equipos técnicos.</w:t>
      </w:r>
    </w:p>
    <w:p w14:paraId="46258BCC" w14:textId="77777777" w:rsidR="00F64C4A" w:rsidRPr="00F64C4A" w:rsidRDefault="00F64C4A" w:rsidP="00F64C4A">
      <w:pPr>
        <w:pStyle w:val="Prrafodelista"/>
        <w:numPr>
          <w:ilvl w:val="1"/>
          <w:numId w:val="6"/>
        </w:numPr>
        <w:suppressAutoHyphens/>
        <w:spacing w:before="120" w:after="120" w:line="240" w:lineRule="auto"/>
        <w:ind w:left="709" w:right="-34"/>
        <w:contextualSpacing w:val="0"/>
        <w:jc w:val="both"/>
        <w:rPr>
          <w:rFonts w:ascii="Arial" w:eastAsia="Times New Roman" w:hAnsi="Arial"/>
          <w:b/>
          <w:lang w:val="es-ES_tradnl"/>
        </w:rPr>
      </w:pPr>
      <w:r w:rsidRPr="00F64C4A">
        <w:rPr>
          <w:rFonts w:ascii="Arial" w:hAnsi="Arial"/>
          <w:lang w:val="es-ES_tradnl"/>
        </w:rPr>
        <w:t>El Ministerio de Educación, Ciencia y Tecnología, es el responsable del presente proceso de selección para lo cual invita a las firmas consultoras elegibles a presentar propuestas para desarrollar la consultoría.</w:t>
      </w:r>
    </w:p>
    <w:p w14:paraId="2970DC0A" w14:textId="77777777" w:rsidR="00F64C4A" w:rsidRPr="00F64C4A" w:rsidRDefault="00F64C4A" w:rsidP="00F64C4A">
      <w:pPr>
        <w:pStyle w:val="Prrafodelista"/>
        <w:numPr>
          <w:ilvl w:val="1"/>
          <w:numId w:val="6"/>
        </w:numPr>
        <w:suppressAutoHyphens/>
        <w:spacing w:before="120" w:after="120" w:line="240" w:lineRule="auto"/>
        <w:ind w:left="709" w:right="-34"/>
        <w:contextualSpacing w:val="0"/>
        <w:jc w:val="both"/>
        <w:rPr>
          <w:rFonts w:ascii="Arial" w:hAnsi="Arial"/>
          <w:b/>
          <w:lang w:val="es-ES_tradnl"/>
        </w:rPr>
      </w:pPr>
      <w:r w:rsidRPr="00F64C4A">
        <w:rPr>
          <w:rFonts w:ascii="Arial" w:hAnsi="Arial"/>
          <w:lang w:val="es-ES_tradnl"/>
        </w:rPr>
        <w:t xml:space="preserve">La empresa consultora será seleccionada mediante una competencia internacional de acuerdo con los procedimientos del Banco Centroamericano de Integración Económica establecidos en la Política para la Obtención de Bienes, Obras, Servicios y Consultorías con Recursos del </w:t>
      </w:r>
      <w:proofErr w:type="spellStart"/>
      <w:r w:rsidRPr="00F64C4A">
        <w:rPr>
          <w:rFonts w:ascii="Arial" w:hAnsi="Arial"/>
          <w:lang w:val="es-ES_tradnl"/>
        </w:rPr>
        <w:t>BCIE</w:t>
      </w:r>
      <w:proofErr w:type="spellEnd"/>
      <w:r w:rsidRPr="00F64C4A">
        <w:rPr>
          <w:rFonts w:ascii="Arial" w:hAnsi="Arial"/>
          <w:lang w:val="es-ES_tradnl"/>
        </w:rPr>
        <w:t xml:space="preserve"> y sus Normas para la Aplicación que se encuentran en el siguiente sitio de Internet: </w:t>
      </w:r>
      <w:hyperlink r:id="rId7" w:history="1">
        <w:r w:rsidRPr="00F64C4A">
          <w:rPr>
            <w:rStyle w:val="Hipervnculo"/>
            <w:rFonts w:ascii="Arial" w:hAnsi="Arial"/>
            <w:lang w:val="es-ES_tradnl"/>
          </w:rPr>
          <w:t>https://www.bcie.org</w:t>
        </w:r>
      </w:hyperlink>
      <w:r w:rsidRPr="00F64C4A">
        <w:rPr>
          <w:rFonts w:ascii="Arial" w:hAnsi="Arial"/>
          <w:lang w:val="es-ES_tradnl"/>
        </w:rPr>
        <w:t xml:space="preserve"> </w:t>
      </w:r>
    </w:p>
    <w:p w14:paraId="69B637AF" w14:textId="77777777" w:rsidR="00F64C4A" w:rsidRPr="00F64C4A" w:rsidRDefault="00F64C4A" w:rsidP="00F64C4A">
      <w:pPr>
        <w:pStyle w:val="i"/>
        <w:numPr>
          <w:ilvl w:val="0"/>
          <w:numId w:val="6"/>
        </w:numPr>
        <w:spacing w:before="360" w:after="120"/>
        <w:ind w:left="357" w:hanging="357"/>
        <w:rPr>
          <w:rFonts w:ascii="Arial" w:hAnsi="Arial" w:cs="Arial"/>
          <w:b/>
          <w:szCs w:val="22"/>
          <w:lang w:val="es-ES_tradnl"/>
        </w:rPr>
      </w:pPr>
      <w:r w:rsidRPr="00F64C4A">
        <w:rPr>
          <w:rFonts w:ascii="Arial" w:hAnsi="Arial" w:cs="Arial"/>
          <w:b/>
          <w:szCs w:val="22"/>
          <w:lang w:val="es-ES_tradnl"/>
        </w:rPr>
        <w:t>PRESENTACIÓN DEL PROCESO DE CONCURSO</w:t>
      </w:r>
    </w:p>
    <w:p w14:paraId="0E831C6E" w14:textId="77777777" w:rsidR="00F64C4A" w:rsidRPr="00F64C4A" w:rsidRDefault="00F64C4A" w:rsidP="00F64C4A">
      <w:pPr>
        <w:numPr>
          <w:ilvl w:val="1"/>
          <w:numId w:val="7"/>
        </w:numPr>
        <w:suppressAutoHyphens/>
        <w:spacing w:before="120" w:after="120" w:line="240" w:lineRule="auto"/>
        <w:ind w:left="709" w:right="-34" w:hanging="450"/>
        <w:jc w:val="both"/>
        <w:rPr>
          <w:rFonts w:ascii="Arial" w:eastAsia="Times New Roman" w:hAnsi="Arial"/>
          <w:lang w:val="es-ES_tradnl"/>
        </w:rPr>
      </w:pPr>
      <w:r w:rsidRPr="00F64C4A">
        <w:rPr>
          <w:rFonts w:ascii="Arial" w:hAnsi="Arial"/>
        </w:rPr>
        <w:t xml:space="preserve">El objetivo general de esta consultoría es: </w:t>
      </w:r>
      <w:r w:rsidRPr="00F64C4A">
        <w:rPr>
          <w:rFonts w:ascii="Arial" w:eastAsia="Times New Roman" w:hAnsi="Arial"/>
        </w:rPr>
        <w:t>Supervisar el diseño y las obras de mejoramiento de la infraestructura en 24 Centros Educativos seleccionados por parte del Ministerio de Educación Ciencia y Tecnología que presentan deterioro y requieren construcción nueva, reemplazo, rehabilitaciones y/ampliación de los centros educativos a nivel nacional, contratando empresas supervisoras de obras con apoyo de personal especialista en supervisión de diseños de infraestructura educativa</w:t>
      </w:r>
    </w:p>
    <w:p w14:paraId="56E651FF" w14:textId="77777777" w:rsidR="00F64C4A" w:rsidRPr="00F64C4A" w:rsidRDefault="00F64C4A" w:rsidP="00F64C4A">
      <w:pPr>
        <w:numPr>
          <w:ilvl w:val="1"/>
          <w:numId w:val="7"/>
        </w:numPr>
        <w:suppressAutoHyphens/>
        <w:spacing w:before="120" w:after="120" w:line="240" w:lineRule="auto"/>
        <w:ind w:left="709" w:right="-34" w:hanging="450"/>
        <w:jc w:val="both"/>
        <w:rPr>
          <w:rFonts w:ascii="Arial" w:hAnsi="Arial"/>
        </w:rPr>
      </w:pPr>
      <w:r w:rsidRPr="00F64C4A">
        <w:rPr>
          <w:rFonts w:ascii="Arial" w:hAnsi="Arial"/>
        </w:rPr>
        <w:t>El contratante pone a disposición de los interesados toda la documentación relacionada con esta consultoría que es necesaria para la preparación de las ofertas.</w:t>
      </w:r>
    </w:p>
    <w:p w14:paraId="5CE479A7" w14:textId="77777777" w:rsidR="00F64C4A" w:rsidRPr="00F64C4A" w:rsidRDefault="00F64C4A" w:rsidP="00F64C4A">
      <w:pPr>
        <w:suppressAutoHyphens/>
        <w:spacing w:before="120" w:after="120" w:line="240" w:lineRule="auto"/>
        <w:ind w:left="709" w:right="-34"/>
        <w:jc w:val="both"/>
        <w:rPr>
          <w:rFonts w:ascii="Arial" w:hAnsi="Arial"/>
        </w:rPr>
      </w:pPr>
    </w:p>
    <w:p w14:paraId="441BE996" w14:textId="77777777" w:rsidR="00F64C4A" w:rsidRPr="00F64C4A" w:rsidRDefault="00F64C4A" w:rsidP="00F64C4A">
      <w:pPr>
        <w:pStyle w:val="wfxRecipient"/>
        <w:tabs>
          <w:tab w:val="right" w:pos="7308"/>
        </w:tabs>
        <w:overflowPunct/>
        <w:autoSpaceDE/>
        <w:spacing w:before="120" w:after="120"/>
        <w:ind w:left="709" w:right="74" w:hanging="90"/>
        <w:jc w:val="both"/>
        <w:rPr>
          <w:rFonts w:cs="Arial"/>
          <w:szCs w:val="22"/>
          <w:lang w:val="es-ES_tradnl"/>
        </w:rPr>
      </w:pPr>
      <w:r w:rsidRPr="00F64C4A">
        <w:rPr>
          <w:rFonts w:cs="Arial"/>
          <w:szCs w:val="22"/>
          <w:lang w:val="es-ES_tradnl"/>
        </w:rPr>
        <w:tab/>
        <w:t>Dicha información estará disponible sin costo alguno:</w:t>
      </w:r>
    </w:p>
    <w:p w14:paraId="7DDD0B3C" w14:textId="77777777" w:rsidR="00F64C4A" w:rsidRPr="00F64C4A" w:rsidRDefault="00F64C4A" w:rsidP="00F64C4A">
      <w:pPr>
        <w:numPr>
          <w:ilvl w:val="0"/>
          <w:numId w:val="8"/>
        </w:numPr>
        <w:ind w:left="709" w:hanging="283"/>
        <w:jc w:val="both"/>
        <w:rPr>
          <w:rFonts w:ascii="Arial" w:eastAsia="Times New Roman" w:hAnsi="Arial"/>
          <w:lang w:val="es-ES_tradnl"/>
        </w:rPr>
      </w:pPr>
      <w:r w:rsidRPr="00F64C4A">
        <w:rPr>
          <w:rFonts w:ascii="Arial" w:eastAsia="Times New Roman" w:hAnsi="Arial"/>
        </w:rPr>
        <w:lastRenderedPageBreak/>
        <w:t xml:space="preserve">Las bases podrán consultarse y obtenerse de forma gratuita, descargándolas directamente del sitio electrónico de compras públicas; </w:t>
      </w:r>
      <w:hyperlink r:id="rId8" w:history="1">
        <w:r w:rsidRPr="00F64C4A">
          <w:rPr>
            <w:rStyle w:val="Hipervnculo"/>
            <w:rFonts w:ascii="Arial" w:eastAsia="Times New Roman" w:hAnsi="Arial"/>
          </w:rPr>
          <w:t>https://www.comprasal.gob.sv</w:t>
        </w:r>
      </w:hyperlink>
      <w:r w:rsidRPr="00F64C4A">
        <w:rPr>
          <w:rFonts w:ascii="Arial" w:eastAsia="Times New Roman" w:hAnsi="Arial"/>
        </w:rPr>
        <w:t xml:space="preserve"> y la del </w:t>
      </w:r>
      <w:proofErr w:type="spellStart"/>
      <w:r w:rsidRPr="00F64C4A">
        <w:rPr>
          <w:rFonts w:ascii="Arial" w:eastAsia="Times New Roman" w:hAnsi="Arial"/>
        </w:rPr>
        <w:t>MINEDUCYT</w:t>
      </w:r>
      <w:proofErr w:type="spellEnd"/>
      <w:r w:rsidRPr="00F64C4A">
        <w:rPr>
          <w:rFonts w:ascii="Arial" w:eastAsia="Times New Roman" w:hAnsi="Arial"/>
        </w:rPr>
        <w:t xml:space="preserve"> </w:t>
      </w:r>
      <w:hyperlink r:id="rId9" w:history="1">
        <w:r w:rsidRPr="00F64C4A">
          <w:rPr>
            <w:rStyle w:val="Hipervnculo"/>
            <w:rFonts w:ascii="Arial" w:eastAsia="Times New Roman" w:hAnsi="Arial"/>
          </w:rPr>
          <w:t>https://www.mined.gob.sv</w:t>
        </w:r>
      </w:hyperlink>
      <w:r w:rsidRPr="00F64C4A">
        <w:rPr>
          <w:rFonts w:ascii="Arial" w:eastAsia="Times New Roman" w:hAnsi="Arial"/>
        </w:rPr>
        <w:t>, a partir del día 30 de agosto de 2024 y estarán disponibles hasta el 15 de octubre de 2024.</w:t>
      </w:r>
    </w:p>
    <w:p w14:paraId="240504A5" w14:textId="77777777" w:rsidR="00F64C4A" w:rsidRPr="00F64C4A" w:rsidRDefault="00F64C4A" w:rsidP="00F64C4A">
      <w:pPr>
        <w:pStyle w:val="wfxRecipient"/>
        <w:numPr>
          <w:ilvl w:val="0"/>
          <w:numId w:val="8"/>
        </w:numPr>
        <w:spacing w:before="120" w:after="120"/>
        <w:ind w:left="709" w:right="74" w:hanging="283"/>
        <w:jc w:val="both"/>
        <w:textAlignment w:val="auto"/>
        <w:rPr>
          <w:rFonts w:cs="Arial"/>
          <w:szCs w:val="22"/>
          <w:lang w:val="es-ES_tradnl"/>
        </w:rPr>
      </w:pPr>
      <w:r w:rsidRPr="00F64C4A">
        <w:rPr>
          <w:rFonts w:cs="Arial"/>
          <w:szCs w:val="22"/>
          <w:lang w:val="es-ES_tradnl"/>
        </w:rPr>
        <w:t xml:space="preserve">Físicamente en: La Dirección de Compras Públicas del </w:t>
      </w:r>
      <w:proofErr w:type="spellStart"/>
      <w:r w:rsidRPr="00F64C4A">
        <w:rPr>
          <w:rFonts w:cs="Arial"/>
          <w:szCs w:val="22"/>
          <w:lang w:val="es-ES_tradnl"/>
        </w:rPr>
        <w:t>MINEDUCYT</w:t>
      </w:r>
      <w:proofErr w:type="spellEnd"/>
      <w:r w:rsidRPr="00F64C4A">
        <w:rPr>
          <w:rFonts w:cs="Arial"/>
          <w:szCs w:val="22"/>
          <w:lang w:val="es-ES_tradnl"/>
        </w:rPr>
        <w:t xml:space="preserve">, ubicada en Centro de Gobierno, Plan Maestro, Edificio A-1, Segundo Nivel, Teléfono (503) 2592-3031, en donde el interesado entregará fotocopia del </w:t>
      </w:r>
      <w:proofErr w:type="spellStart"/>
      <w:r w:rsidRPr="00F64C4A">
        <w:rPr>
          <w:rFonts w:cs="Arial"/>
          <w:szCs w:val="22"/>
          <w:lang w:val="es-ES_tradnl"/>
        </w:rPr>
        <w:t>NIT</w:t>
      </w:r>
      <w:proofErr w:type="spellEnd"/>
      <w:r w:rsidRPr="00F64C4A">
        <w:rPr>
          <w:rFonts w:cs="Arial"/>
          <w:szCs w:val="22"/>
          <w:lang w:val="es-ES_tradnl"/>
        </w:rPr>
        <w:t xml:space="preserve"> de la persona  jurídica que participará (solo aplica para salvadoreñas) y nota que haga referencia a la licitación que está aplicando, e indicar en la misma: nombre de la persona jurídica, dirección, teléfonos, correo electrónico y nombre del representante legal (en caso de tratarse de una </w:t>
      </w:r>
      <w:proofErr w:type="spellStart"/>
      <w:r w:rsidRPr="00F64C4A">
        <w:rPr>
          <w:rFonts w:cs="Arial"/>
          <w:szCs w:val="22"/>
          <w:lang w:val="es-ES_tradnl"/>
        </w:rPr>
        <w:t>APCA</w:t>
      </w:r>
      <w:proofErr w:type="spellEnd"/>
      <w:r w:rsidRPr="00F64C4A">
        <w:rPr>
          <w:rFonts w:cs="Arial"/>
          <w:szCs w:val="22"/>
          <w:lang w:val="es-ES_tradnl"/>
        </w:rPr>
        <w:t xml:space="preserve">, bastará con que uno de sus integrantes realice la compra de las bases). En esta oficina el </w:t>
      </w:r>
      <w:proofErr w:type="spellStart"/>
      <w:r w:rsidRPr="00F64C4A">
        <w:rPr>
          <w:rFonts w:cs="Arial"/>
          <w:szCs w:val="22"/>
          <w:lang w:val="es-ES_tradnl"/>
        </w:rPr>
        <w:t>MINEDUCYT</w:t>
      </w:r>
      <w:proofErr w:type="spellEnd"/>
      <w:r w:rsidRPr="00F64C4A">
        <w:rPr>
          <w:rFonts w:cs="Arial"/>
          <w:szCs w:val="22"/>
          <w:lang w:val="es-ES_tradnl"/>
        </w:rPr>
        <w:t xml:space="preserve"> entregará un comprobante para que el interesado efectúe el pago correspondiente.   </w:t>
      </w:r>
    </w:p>
    <w:p w14:paraId="6F8FED8E" w14:textId="77777777" w:rsidR="00F64C4A" w:rsidRPr="00F64C4A" w:rsidRDefault="00F64C4A" w:rsidP="00F64C4A">
      <w:pPr>
        <w:pStyle w:val="Prrafodelista"/>
        <w:numPr>
          <w:ilvl w:val="1"/>
          <w:numId w:val="7"/>
        </w:numPr>
        <w:suppressAutoHyphens/>
        <w:spacing w:before="120" w:after="120" w:line="240" w:lineRule="auto"/>
        <w:ind w:left="567" w:right="-34" w:hanging="450"/>
        <w:contextualSpacing w:val="0"/>
        <w:jc w:val="both"/>
        <w:rPr>
          <w:rFonts w:ascii="Arial" w:hAnsi="Arial"/>
          <w:spacing w:val="-2"/>
          <w:lang w:val="es-ES_tradnl"/>
        </w:rPr>
      </w:pPr>
      <w:r w:rsidRPr="00F64C4A">
        <w:rPr>
          <w:rFonts w:ascii="Arial" w:hAnsi="Arial"/>
          <w:spacing w:val="-2"/>
          <w:lang w:val="es-ES_tradnl"/>
        </w:rPr>
        <w:t xml:space="preserve">Las ofertas se deben enviar al domicilio consignado más abajo, a más tardar </w:t>
      </w:r>
      <w:r w:rsidRPr="00F64C4A">
        <w:rPr>
          <w:rFonts w:ascii="Arial" w:hAnsi="Arial"/>
          <w:lang w:val="es-ES_tradnl"/>
        </w:rPr>
        <w:t xml:space="preserve">a las </w:t>
      </w:r>
      <w:r w:rsidRPr="00F64C4A">
        <w:rPr>
          <w:rFonts w:ascii="Arial" w:hAnsi="Arial"/>
          <w:b/>
          <w:lang w:val="es-ES_tradnl"/>
        </w:rPr>
        <w:t xml:space="preserve">10:00 horas (hora de El Salvador) </w:t>
      </w:r>
      <w:r w:rsidRPr="00F64C4A">
        <w:rPr>
          <w:rFonts w:ascii="Arial" w:hAnsi="Arial"/>
          <w:bCs/>
          <w:lang w:val="es-ES_tradnl"/>
        </w:rPr>
        <w:t xml:space="preserve">del día </w:t>
      </w:r>
      <w:r w:rsidRPr="00F64C4A">
        <w:rPr>
          <w:rFonts w:ascii="Arial" w:hAnsi="Arial"/>
          <w:b/>
          <w:lang w:val="es-ES_tradnl"/>
        </w:rPr>
        <w:t>16 de octubre de 2024</w:t>
      </w:r>
      <w:r w:rsidRPr="00F64C4A">
        <w:rPr>
          <w:rFonts w:ascii="Arial" w:hAnsi="Arial"/>
          <w:spacing w:val="-2"/>
          <w:lang w:val="es-ES_tradnl"/>
        </w:rPr>
        <w:t>.</w:t>
      </w:r>
    </w:p>
    <w:p w14:paraId="7F994297" w14:textId="77777777" w:rsidR="00F64C4A" w:rsidRPr="00F64C4A" w:rsidRDefault="00F64C4A" w:rsidP="00F64C4A">
      <w:pPr>
        <w:suppressAutoHyphens/>
        <w:spacing w:before="120" w:after="120"/>
        <w:ind w:left="567" w:right="-34"/>
        <w:jc w:val="both"/>
        <w:rPr>
          <w:rFonts w:ascii="Arial" w:hAnsi="Arial"/>
          <w:spacing w:val="-2"/>
          <w:lang w:val="es-ES_tradnl"/>
        </w:rPr>
      </w:pPr>
      <w:r w:rsidRPr="00F64C4A">
        <w:rPr>
          <w:rFonts w:ascii="Arial" w:hAnsi="Arial"/>
          <w:spacing w:val="-2"/>
        </w:rPr>
        <w:t>No se permitirá presentar ofertas en forma electrónica. No se aceptarán ofertas tardías.</w:t>
      </w:r>
    </w:p>
    <w:p w14:paraId="359C8B2D" w14:textId="77777777" w:rsidR="00F64C4A" w:rsidRPr="00F64C4A" w:rsidRDefault="00F64C4A" w:rsidP="00F64C4A">
      <w:pPr>
        <w:suppressAutoHyphens/>
        <w:spacing w:before="120" w:after="120"/>
        <w:ind w:left="567" w:right="-34"/>
        <w:jc w:val="both"/>
        <w:rPr>
          <w:rFonts w:ascii="Arial" w:hAnsi="Arial"/>
          <w:b/>
          <w:bCs/>
        </w:rPr>
      </w:pPr>
      <w:r w:rsidRPr="00F64C4A">
        <w:rPr>
          <w:rFonts w:ascii="Arial" w:hAnsi="Arial"/>
          <w:spacing w:val="-2"/>
        </w:rPr>
        <w:t xml:space="preserve">Las propuestas que corresponden al sobre No 1 (Ofertas Técnicas) se abrirán públicamente, en presencia de los representantes designados por los Licitantes y de cualquier persona que decida asistir, en el domicilio consignado más abajo, a más tardar </w:t>
      </w:r>
      <w:r w:rsidRPr="00F64C4A">
        <w:rPr>
          <w:rFonts w:ascii="Arial" w:hAnsi="Arial"/>
        </w:rPr>
        <w:t>a las 10:30 horas (hora de El Salvador) del día</w:t>
      </w:r>
      <w:r w:rsidRPr="00F64C4A">
        <w:rPr>
          <w:rFonts w:ascii="Arial" w:hAnsi="Arial"/>
          <w:spacing w:val="-2"/>
        </w:rPr>
        <w:t xml:space="preserve"> </w:t>
      </w:r>
      <w:r w:rsidRPr="00F64C4A">
        <w:rPr>
          <w:rFonts w:ascii="Arial" w:hAnsi="Arial"/>
          <w:b/>
          <w:bCs/>
          <w:spacing w:val="-2"/>
        </w:rPr>
        <w:t>16 de octubre de 2024</w:t>
      </w:r>
      <w:r w:rsidRPr="00F64C4A">
        <w:rPr>
          <w:rFonts w:ascii="Arial" w:hAnsi="Arial"/>
          <w:b/>
          <w:bCs/>
        </w:rPr>
        <w:t>.</w:t>
      </w:r>
    </w:p>
    <w:p w14:paraId="5193FB9D" w14:textId="77777777" w:rsidR="00F64C4A" w:rsidRPr="00F64C4A" w:rsidRDefault="00F64C4A" w:rsidP="00F64C4A">
      <w:pPr>
        <w:pStyle w:val="Prrafodelista"/>
        <w:numPr>
          <w:ilvl w:val="1"/>
          <w:numId w:val="7"/>
        </w:numPr>
        <w:suppressAutoHyphens/>
        <w:spacing w:after="240" w:line="240" w:lineRule="auto"/>
        <w:ind w:left="567" w:hanging="425"/>
        <w:contextualSpacing w:val="0"/>
        <w:jc w:val="both"/>
        <w:rPr>
          <w:rFonts w:ascii="Arial" w:hAnsi="Arial"/>
          <w:lang w:val="es-ES_tradnl"/>
        </w:rPr>
      </w:pPr>
      <w:r w:rsidRPr="00F64C4A">
        <w:rPr>
          <w:rFonts w:ascii="Arial" w:hAnsi="Arial"/>
          <w:lang w:val="es-ES_tradnl"/>
        </w:rPr>
        <w:t xml:space="preserve"> El domicilio mencionado(s) más arriba es: </w:t>
      </w:r>
    </w:p>
    <w:p w14:paraId="35288DB4" w14:textId="77777777" w:rsidR="00F64C4A" w:rsidRPr="00F64C4A" w:rsidRDefault="00F64C4A" w:rsidP="00F64C4A">
      <w:pPr>
        <w:pStyle w:val="Prrafodelista"/>
        <w:suppressAutoHyphens/>
        <w:spacing w:after="240"/>
        <w:ind w:left="567" w:hanging="425"/>
        <w:rPr>
          <w:rFonts w:ascii="Arial" w:hAnsi="Arial"/>
          <w:lang w:val="es-ES_tradnl"/>
        </w:rPr>
      </w:pPr>
      <w:r w:rsidRPr="00F64C4A">
        <w:rPr>
          <w:rFonts w:ascii="Arial" w:hAnsi="Arial"/>
          <w:lang w:val="es-ES_tradnl"/>
        </w:rPr>
        <w:t xml:space="preserve">       Ministerio de Educación, Ciencia y Tecnología, Dirección de Compras Públicas - </w:t>
      </w:r>
      <w:proofErr w:type="spellStart"/>
      <w:r w:rsidRPr="00F64C4A">
        <w:rPr>
          <w:rFonts w:ascii="Arial" w:hAnsi="Arial"/>
          <w:lang w:val="es-ES_tradnl"/>
        </w:rPr>
        <w:t>DCP</w:t>
      </w:r>
      <w:proofErr w:type="spellEnd"/>
      <w:r w:rsidRPr="00F64C4A">
        <w:rPr>
          <w:rFonts w:ascii="Arial" w:hAnsi="Arial"/>
          <w:lang w:val="es-ES_tradnl"/>
        </w:rPr>
        <w:t xml:space="preserve">, Alameda Juan Pablo II y Calle Guadalupe, Plan Maestro, Centro de Gobierno, Edificio A-1, Segundo Nivel, San Salvador, El Salvador. </w:t>
      </w:r>
    </w:p>
    <w:p w14:paraId="6FD0F9CB" w14:textId="77777777" w:rsidR="00F64C4A" w:rsidRPr="00F64C4A" w:rsidRDefault="00F64C4A" w:rsidP="00F64C4A">
      <w:pPr>
        <w:pStyle w:val="Prrafodelista"/>
        <w:suppressAutoHyphens/>
        <w:spacing w:after="240"/>
        <w:ind w:left="567" w:hanging="425"/>
        <w:rPr>
          <w:rFonts w:ascii="Arial" w:hAnsi="Arial"/>
          <w:lang w:val="es-ES_tradnl"/>
        </w:rPr>
      </w:pPr>
    </w:p>
    <w:p w14:paraId="3F0BE4EC" w14:textId="77777777" w:rsidR="00F64C4A" w:rsidRPr="00F64C4A" w:rsidRDefault="00F64C4A" w:rsidP="00F64C4A">
      <w:pPr>
        <w:pStyle w:val="Prrafodelista"/>
        <w:suppressAutoHyphens/>
        <w:spacing w:after="240"/>
        <w:ind w:left="567" w:hanging="425"/>
        <w:rPr>
          <w:rFonts w:ascii="Arial" w:hAnsi="Arial"/>
          <w:lang w:val="es-ES_tradnl"/>
        </w:rPr>
      </w:pPr>
      <w:bookmarkStart w:id="7" w:name="_GoBack"/>
      <w:bookmarkEnd w:id="7"/>
    </w:p>
    <w:p w14:paraId="4659F518" w14:textId="77777777" w:rsidR="00F64C4A" w:rsidRPr="00F64C4A" w:rsidRDefault="00F64C4A" w:rsidP="00F64C4A">
      <w:pPr>
        <w:jc w:val="center"/>
        <w:rPr>
          <w:rFonts w:ascii="Arial" w:hAnsi="Arial"/>
          <w:lang w:val="es-ES_tradnl"/>
        </w:rPr>
      </w:pPr>
    </w:p>
    <w:p w14:paraId="041C7EE0" w14:textId="77777777" w:rsidR="00F64C4A" w:rsidRPr="00F64C4A" w:rsidRDefault="00F64C4A" w:rsidP="00F64C4A">
      <w:pPr>
        <w:spacing w:after="0" w:line="240" w:lineRule="auto"/>
        <w:jc w:val="center"/>
        <w:rPr>
          <w:rFonts w:ascii="Arial" w:hAnsi="Arial"/>
        </w:rPr>
      </w:pPr>
      <w:r w:rsidRPr="00F64C4A">
        <w:rPr>
          <w:rFonts w:ascii="Arial" w:hAnsi="Arial"/>
        </w:rPr>
        <w:t>José Orlando González Ramírez</w:t>
      </w:r>
    </w:p>
    <w:p w14:paraId="277D0E1F" w14:textId="543C1318" w:rsidR="00A82215" w:rsidRPr="00F64C4A" w:rsidRDefault="00F64C4A" w:rsidP="00F64C4A">
      <w:pPr>
        <w:jc w:val="center"/>
        <w:rPr>
          <w:rFonts w:ascii="Arial" w:hAnsi="Arial"/>
        </w:rPr>
      </w:pPr>
      <w:r w:rsidRPr="00F64C4A">
        <w:rPr>
          <w:rFonts w:ascii="Arial" w:hAnsi="Arial"/>
        </w:rPr>
        <w:t>Director de Compras</w:t>
      </w:r>
    </w:p>
    <w:sectPr w:rsidR="00A82215" w:rsidRPr="00F64C4A" w:rsidSect="002A3F1D">
      <w:pgSz w:w="12240" w:h="15840"/>
      <w:pgMar w:top="993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21B"/>
    <w:multiLevelType w:val="multilevel"/>
    <w:tmpl w:val="F29A9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DA42915"/>
    <w:multiLevelType w:val="multilevel"/>
    <w:tmpl w:val="A268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1176DC"/>
    <w:multiLevelType w:val="hybridMultilevel"/>
    <w:tmpl w:val="CCB0187E"/>
    <w:lvl w:ilvl="0" w:tplc="480A0019">
      <w:start w:val="1"/>
      <w:numFmt w:val="lowerLetter"/>
      <w:lvlText w:val="%1."/>
      <w:lvlJc w:val="left"/>
    </w:lvl>
    <w:lvl w:ilvl="1" w:tplc="480A0019">
      <w:numFmt w:val="decimal"/>
      <w:lvlText w:val=""/>
      <w:lvlJc w:val="left"/>
    </w:lvl>
    <w:lvl w:ilvl="2" w:tplc="480A001B">
      <w:numFmt w:val="decimal"/>
      <w:lvlText w:val=""/>
      <w:lvlJc w:val="left"/>
    </w:lvl>
    <w:lvl w:ilvl="3" w:tplc="480A000F">
      <w:numFmt w:val="decimal"/>
      <w:lvlText w:val=""/>
      <w:lvlJc w:val="left"/>
    </w:lvl>
    <w:lvl w:ilvl="4" w:tplc="480A0019">
      <w:numFmt w:val="decimal"/>
      <w:lvlText w:val=""/>
      <w:lvlJc w:val="left"/>
    </w:lvl>
    <w:lvl w:ilvl="5" w:tplc="480A001B">
      <w:numFmt w:val="decimal"/>
      <w:lvlText w:val=""/>
      <w:lvlJc w:val="left"/>
    </w:lvl>
    <w:lvl w:ilvl="6" w:tplc="480A000F">
      <w:numFmt w:val="decimal"/>
      <w:lvlText w:val=""/>
      <w:lvlJc w:val="left"/>
    </w:lvl>
    <w:lvl w:ilvl="7" w:tplc="480A0019">
      <w:numFmt w:val="decimal"/>
      <w:lvlText w:val=""/>
      <w:lvlJc w:val="left"/>
    </w:lvl>
    <w:lvl w:ilvl="8" w:tplc="480A001B">
      <w:numFmt w:val="decimal"/>
      <w:lvlText w:val=""/>
      <w:lvlJc w:val="left"/>
    </w:lvl>
  </w:abstractNum>
  <w:abstractNum w:abstractNumId="3" w15:restartNumberingAfterBreak="0">
    <w:nsid w:val="6B100501"/>
    <w:multiLevelType w:val="multilevel"/>
    <w:tmpl w:val="2DD00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D8"/>
    <w:rsid w:val="00181591"/>
    <w:rsid w:val="001B76D7"/>
    <w:rsid w:val="002A3F1D"/>
    <w:rsid w:val="002A72B1"/>
    <w:rsid w:val="005E79D8"/>
    <w:rsid w:val="008B093D"/>
    <w:rsid w:val="00A82215"/>
    <w:rsid w:val="00A971B1"/>
    <w:rsid w:val="00B2106E"/>
    <w:rsid w:val="00C61106"/>
    <w:rsid w:val="00D619A3"/>
    <w:rsid w:val="00F005FF"/>
    <w:rsid w:val="00F64C4A"/>
    <w:rsid w:val="00F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F3F30EC"/>
  <w15:chartTrackingRefBased/>
  <w15:docId w15:val="{68421278-437E-7B44-840F-E65E510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D8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9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9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9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9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9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9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9D8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9D8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9D8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9D8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9D8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9D8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9D8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E7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9D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9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9D8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5E7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9D8"/>
    <w:rPr>
      <w:i/>
      <w:iCs/>
      <w:color w:val="404040" w:themeColor="text1" w:themeTint="BF"/>
      <w:lang w:val="es-ES"/>
    </w:rPr>
  </w:style>
  <w:style w:type="paragraph" w:styleId="Prrafodelista">
    <w:name w:val="List Paragraph"/>
    <w:aliases w:val="Citation List,본문(내용),List Paragraph (numbered (a)),Liste à puce - SC,Capítulo,corp de texte,Tab n1,Paragraphe de liste num,Paragraphe de liste 1,Listes,Paragraphe  revu,Figures,References,lp1,lp11,List Paragraph11,Bullet 1,Bulletted,Bul"/>
    <w:basedOn w:val="Normal"/>
    <w:link w:val="PrrafodelistaCar"/>
    <w:uiPriority w:val="34"/>
    <w:qFormat/>
    <w:rsid w:val="005E79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9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9D8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5E79D8"/>
    <w:rPr>
      <w:b/>
      <w:bCs/>
      <w:smallCaps/>
      <w:color w:val="0F4761" w:themeColor="accent1" w:themeShade="BF"/>
      <w:spacing w:val="5"/>
    </w:rPr>
  </w:style>
  <w:style w:type="paragraph" w:customStyle="1" w:styleId="i">
    <w:name w:val="(i)"/>
    <w:basedOn w:val="Normal"/>
    <w:link w:val="iChar"/>
    <w:rsid w:val="005E79D8"/>
    <w:pPr>
      <w:suppressAutoHyphens/>
      <w:spacing w:after="0" w:line="240" w:lineRule="auto"/>
      <w:jc w:val="both"/>
    </w:pPr>
    <w:rPr>
      <w:rFonts w:ascii="Tms Rmn" w:eastAsia="Times New Roman" w:hAnsi="Tms Rmn" w:cs="Times New Roman"/>
      <w:szCs w:val="20"/>
      <w:lang w:val="en-US"/>
    </w:rPr>
  </w:style>
  <w:style w:type="character" w:styleId="Hipervnculo">
    <w:name w:val="Hyperlink"/>
    <w:rsid w:val="005E79D8"/>
    <w:rPr>
      <w:color w:val="0000FF"/>
      <w:u w:val="single"/>
    </w:rPr>
  </w:style>
  <w:style w:type="paragraph" w:customStyle="1" w:styleId="wfxRecipient">
    <w:name w:val="wfxRecipient"/>
    <w:basedOn w:val="Normal"/>
    <w:rsid w:val="005E79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customStyle="1" w:styleId="iChar">
    <w:name w:val="(i) Char"/>
    <w:link w:val="i"/>
    <w:rsid w:val="005E79D8"/>
    <w:rPr>
      <w:rFonts w:ascii="Tms Rmn" w:eastAsia="Times New Roman" w:hAnsi="Tms Rmn" w:cs="Times New Roman"/>
      <w:kern w:val="0"/>
      <w:sz w:val="22"/>
      <w:szCs w:val="20"/>
      <w:lang w:val="en-US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Liste à puce - SC Car,Capítulo Car,corp de texte Car,Tab n1 Car,Paragraphe de liste num Car,Paragraphe de liste 1 Car,Listes Car,Paragraphe  revu Car,Figures Car,lp1 Car"/>
    <w:link w:val="Prrafodelista"/>
    <w:uiPriority w:val="34"/>
    <w:qFormat/>
    <w:locked/>
    <w:rsid w:val="005E79D8"/>
    <w:rPr>
      <w:lang w:val="es-ES"/>
    </w:rPr>
  </w:style>
  <w:style w:type="paragraph" w:customStyle="1" w:styleId="Heading1a">
    <w:name w:val="Heading 1a"/>
    <w:rsid w:val="00F64C4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kern w:val="0"/>
      <w:sz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ed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Flamenco</dc:creator>
  <cp:keywords/>
  <dc:description/>
  <cp:lastModifiedBy>Juan Jose Flamenco Castillo</cp:lastModifiedBy>
  <cp:revision>10</cp:revision>
  <dcterms:created xsi:type="dcterms:W3CDTF">2024-08-20T13:31:00Z</dcterms:created>
  <dcterms:modified xsi:type="dcterms:W3CDTF">2024-09-02T13:47:00Z</dcterms:modified>
</cp:coreProperties>
</file>